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78" w:rsidRPr="00C04FE7" w:rsidRDefault="007E0744" w:rsidP="00914CC5">
      <w:pPr>
        <w:pStyle w:val="Heading2"/>
        <w:jc w:val="center"/>
        <w:rPr>
          <w:rFonts w:asciiTheme="minorHAnsi" w:hAnsiTheme="minorHAnsi"/>
          <w:color w:val="auto"/>
          <w:sz w:val="32"/>
          <w:szCs w:val="32"/>
          <w:lang w:val="en-US"/>
        </w:rPr>
      </w:pPr>
      <w:r w:rsidRPr="00C04FE7">
        <w:rPr>
          <w:rFonts w:asciiTheme="minorHAnsi" w:hAnsiTheme="minorHAnsi"/>
          <w:color w:val="auto"/>
          <w:sz w:val="32"/>
          <w:szCs w:val="32"/>
          <w:lang w:val="en-US"/>
        </w:rPr>
        <w:t>G</w:t>
      </w:r>
      <w:r w:rsidR="00974C78" w:rsidRPr="00C04FE7">
        <w:rPr>
          <w:rFonts w:asciiTheme="minorHAnsi" w:hAnsiTheme="minorHAnsi"/>
          <w:color w:val="auto"/>
          <w:sz w:val="32"/>
          <w:szCs w:val="32"/>
          <w:lang w:val="en-US"/>
        </w:rPr>
        <w:t xml:space="preserve">uidelines for </w:t>
      </w:r>
      <w:r w:rsidR="00B31CA4">
        <w:rPr>
          <w:rFonts w:asciiTheme="minorHAnsi" w:hAnsiTheme="minorHAnsi"/>
          <w:color w:val="auto"/>
          <w:sz w:val="32"/>
          <w:szCs w:val="32"/>
          <w:lang w:val="en-US"/>
        </w:rPr>
        <w:t xml:space="preserve">collaboration between </w:t>
      </w:r>
      <w:r w:rsidRPr="00C04FE7">
        <w:rPr>
          <w:rFonts w:asciiTheme="minorHAnsi" w:hAnsiTheme="minorHAnsi"/>
          <w:color w:val="auto"/>
          <w:sz w:val="32"/>
          <w:szCs w:val="32"/>
          <w:lang w:val="en-US"/>
        </w:rPr>
        <w:t xml:space="preserve">general research </w:t>
      </w:r>
      <w:proofErr w:type="spellStart"/>
      <w:r w:rsidRPr="00C04FE7">
        <w:rPr>
          <w:rFonts w:asciiTheme="minorHAnsi" w:hAnsiTheme="minorHAnsi"/>
          <w:color w:val="auto"/>
          <w:sz w:val="32"/>
          <w:szCs w:val="32"/>
          <w:lang w:val="en-US"/>
        </w:rPr>
        <w:t>biobanks</w:t>
      </w:r>
      <w:proofErr w:type="spellEnd"/>
      <w:r w:rsidRPr="00C04FE7">
        <w:rPr>
          <w:rFonts w:asciiTheme="minorHAnsi" w:hAnsiTheme="minorHAnsi"/>
          <w:color w:val="auto"/>
          <w:sz w:val="32"/>
          <w:szCs w:val="32"/>
          <w:lang w:val="en-US"/>
        </w:rPr>
        <w:t xml:space="preserve"> </w:t>
      </w:r>
      <w:r w:rsidR="00B31CA4">
        <w:rPr>
          <w:rFonts w:asciiTheme="minorHAnsi" w:hAnsiTheme="minorHAnsi"/>
          <w:color w:val="auto"/>
          <w:sz w:val="32"/>
          <w:szCs w:val="32"/>
          <w:lang w:val="en-US"/>
        </w:rPr>
        <w:t>and</w:t>
      </w:r>
      <w:r w:rsidRPr="00C04FE7">
        <w:rPr>
          <w:rFonts w:asciiTheme="minorHAnsi" w:hAnsiTheme="minorHAnsi"/>
          <w:color w:val="auto"/>
          <w:sz w:val="32"/>
          <w:szCs w:val="32"/>
          <w:lang w:val="en-US"/>
        </w:rPr>
        <w:t xml:space="preserve"> the Pathology Department </w:t>
      </w:r>
    </w:p>
    <w:p w:rsidR="009F4A6F" w:rsidRPr="00974C78" w:rsidRDefault="009F4A6F" w:rsidP="00974C78">
      <w:pPr>
        <w:rPr>
          <w:lang w:val="en-US"/>
        </w:rPr>
      </w:pPr>
    </w:p>
    <w:p w:rsidR="00974C78" w:rsidRPr="005D555B" w:rsidRDefault="00CC246A" w:rsidP="005D555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D555B">
        <w:rPr>
          <w:sz w:val="24"/>
          <w:szCs w:val="24"/>
          <w:lang w:val="en-US"/>
        </w:rPr>
        <w:t>External d</w:t>
      </w:r>
      <w:r w:rsidR="00974C78" w:rsidRPr="005D555B">
        <w:rPr>
          <w:sz w:val="24"/>
          <w:szCs w:val="24"/>
          <w:lang w:val="en-US"/>
        </w:rPr>
        <w:t xml:space="preserve">epartments wishing to establish general research </w:t>
      </w:r>
      <w:proofErr w:type="spellStart"/>
      <w:r w:rsidR="00974C78" w:rsidRPr="005D555B">
        <w:rPr>
          <w:sz w:val="24"/>
          <w:szCs w:val="24"/>
          <w:lang w:val="en-US"/>
        </w:rPr>
        <w:t>biobanks</w:t>
      </w:r>
      <w:proofErr w:type="spellEnd"/>
      <w:r w:rsidR="00974C78" w:rsidRPr="005D555B">
        <w:rPr>
          <w:sz w:val="24"/>
          <w:szCs w:val="24"/>
          <w:lang w:val="en-US"/>
        </w:rPr>
        <w:t xml:space="preserve"> with </w:t>
      </w:r>
      <w:proofErr w:type="spellStart"/>
      <w:r w:rsidR="00974C78" w:rsidRPr="005D555B">
        <w:rPr>
          <w:sz w:val="24"/>
          <w:szCs w:val="24"/>
          <w:lang w:val="en-US"/>
        </w:rPr>
        <w:t>biobanking</w:t>
      </w:r>
      <w:proofErr w:type="spellEnd"/>
      <w:r w:rsidR="00974C78" w:rsidRPr="005D555B">
        <w:rPr>
          <w:sz w:val="24"/>
          <w:szCs w:val="24"/>
          <w:lang w:val="en-US"/>
        </w:rPr>
        <w:t xml:space="preserve"> assistance from the Pathology Department must have REC approval and must have obtained patient consent before the Pathology Department can collaborate.</w:t>
      </w:r>
    </w:p>
    <w:p w:rsidR="00974C78" w:rsidRPr="005D555B" w:rsidRDefault="00974C78" w:rsidP="005D555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D555B">
        <w:rPr>
          <w:sz w:val="24"/>
          <w:szCs w:val="24"/>
          <w:lang w:val="en-US"/>
        </w:rPr>
        <w:t xml:space="preserve">All </w:t>
      </w:r>
      <w:proofErr w:type="spellStart"/>
      <w:r w:rsidRPr="005D555B">
        <w:rPr>
          <w:sz w:val="24"/>
          <w:szCs w:val="24"/>
          <w:lang w:val="en-US"/>
        </w:rPr>
        <w:t>biobanking</w:t>
      </w:r>
      <w:proofErr w:type="spellEnd"/>
      <w:r w:rsidRPr="005D555B">
        <w:rPr>
          <w:sz w:val="24"/>
          <w:szCs w:val="24"/>
          <w:lang w:val="en-US"/>
        </w:rPr>
        <w:t xml:space="preserve"> of tissue material from surgical biopsies must be done physically at the Department of Pathology, not at other departments, in order to ensure that the </w:t>
      </w:r>
      <w:proofErr w:type="spellStart"/>
      <w:r w:rsidR="004754E3" w:rsidRPr="005D555B">
        <w:rPr>
          <w:sz w:val="24"/>
          <w:szCs w:val="24"/>
          <w:lang w:val="en-US"/>
        </w:rPr>
        <w:t>biobanked</w:t>
      </w:r>
      <w:proofErr w:type="spellEnd"/>
      <w:r w:rsidR="004754E3" w:rsidRPr="005D555B">
        <w:rPr>
          <w:sz w:val="24"/>
          <w:szCs w:val="24"/>
          <w:lang w:val="en-US"/>
        </w:rPr>
        <w:t xml:space="preserve"> </w:t>
      </w:r>
      <w:r w:rsidRPr="005D555B">
        <w:rPr>
          <w:sz w:val="24"/>
          <w:szCs w:val="24"/>
          <w:lang w:val="en-US"/>
        </w:rPr>
        <w:t>tissue samples meet quality control standards.</w:t>
      </w:r>
    </w:p>
    <w:p w:rsidR="00974C78" w:rsidRPr="005D555B" w:rsidRDefault="00974C78" w:rsidP="005D555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D555B">
        <w:rPr>
          <w:sz w:val="24"/>
          <w:szCs w:val="24"/>
          <w:lang w:val="en-US"/>
        </w:rPr>
        <w:t>Pathologists must be involved from the start since the</w:t>
      </w:r>
      <w:r w:rsidR="007E0744" w:rsidRPr="005D555B">
        <w:rPr>
          <w:sz w:val="24"/>
          <w:szCs w:val="24"/>
          <w:lang w:val="en-US"/>
        </w:rPr>
        <w:t>y</w:t>
      </w:r>
      <w:r w:rsidRPr="005D555B">
        <w:rPr>
          <w:sz w:val="24"/>
          <w:szCs w:val="24"/>
          <w:lang w:val="en-US"/>
        </w:rPr>
        <w:t xml:space="preserve"> </w:t>
      </w:r>
      <w:r w:rsidR="00480BB4" w:rsidRPr="005D555B">
        <w:rPr>
          <w:sz w:val="24"/>
          <w:szCs w:val="24"/>
          <w:lang w:val="en-US"/>
        </w:rPr>
        <w:t xml:space="preserve">have the necessary expertise to </w:t>
      </w:r>
      <w:r w:rsidRPr="005D555B">
        <w:rPr>
          <w:sz w:val="24"/>
          <w:szCs w:val="24"/>
          <w:lang w:val="en-US"/>
        </w:rPr>
        <w:t xml:space="preserve">ensure that </w:t>
      </w:r>
      <w:proofErr w:type="spellStart"/>
      <w:r w:rsidRPr="005D555B">
        <w:rPr>
          <w:sz w:val="24"/>
          <w:szCs w:val="24"/>
          <w:lang w:val="en-US"/>
        </w:rPr>
        <w:t>biobanking</w:t>
      </w:r>
      <w:proofErr w:type="spellEnd"/>
      <w:r w:rsidRPr="005D555B">
        <w:rPr>
          <w:sz w:val="24"/>
          <w:szCs w:val="24"/>
          <w:lang w:val="en-US"/>
        </w:rPr>
        <w:t xml:space="preserve"> is carried out in a responsible manner.</w:t>
      </w:r>
    </w:p>
    <w:p w:rsidR="00974C78" w:rsidRPr="005D555B" w:rsidRDefault="00974C78" w:rsidP="005D555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D555B">
        <w:rPr>
          <w:sz w:val="24"/>
          <w:szCs w:val="24"/>
          <w:lang w:val="en-US"/>
        </w:rPr>
        <w:t xml:space="preserve">A </w:t>
      </w:r>
      <w:r w:rsidRPr="005D555B">
        <w:rPr>
          <w:b/>
          <w:sz w:val="24"/>
          <w:szCs w:val="24"/>
          <w:lang w:val="en-US"/>
        </w:rPr>
        <w:t>collaboration agreement</w:t>
      </w:r>
      <w:r w:rsidRPr="005D555B">
        <w:rPr>
          <w:sz w:val="24"/>
          <w:szCs w:val="24"/>
          <w:lang w:val="en-US"/>
        </w:rPr>
        <w:t xml:space="preserve"> between the Department of Pathology and another department must be signed and </w:t>
      </w:r>
      <w:r w:rsidR="007E0744" w:rsidRPr="005D555B">
        <w:rPr>
          <w:sz w:val="24"/>
          <w:szCs w:val="24"/>
          <w:lang w:val="en-US"/>
        </w:rPr>
        <w:t>will</w:t>
      </w:r>
      <w:r w:rsidRPr="005D555B">
        <w:rPr>
          <w:sz w:val="24"/>
          <w:szCs w:val="24"/>
          <w:lang w:val="en-US"/>
        </w:rPr>
        <w:t xml:space="preserve"> </w:t>
      </w:r>
      <w:r w:rsidR="007E0744" w:rsidRPr="005D555B">
        <w:rPr>
          <w:sz w:val="24"/>
          <w:szCs w:val="24"/>
          <w:lang w:val="en-US"/>
        </w:rPr>
        <w:t xml:space="preserve">function </w:t>
      </w:r>
      <w:r w:rsidRPr="005D555B">
        <w:rPr>
          <w:sz w:val="24"/>
          <w:szCs w:val="24"/>
          <w:lang w:val="en-US"/>
        </w:rPr>
        <w:t xml:space="preserve">as a written agreement. Both parties can discuss and agree on the distribution of costs and on the type/amount of work that involves the pathologists, and this should be specified in the collaboration agreement. The costs associated with establishing </w:t>
      </w:r>
      <w:proofErr w:type="spellStart"/>
      <w:r w:rsidRPr="005D555B">
        <w:rPr>
          <w:sz w:val="24"/>
          <w:szCs w:val="24"/>
          <w:lang w:val="en-US"/>
        </w:rPr>
        <w:t>eBiobank</w:t>
      </w:r>
      <w:proofErr w:type="spellEnd"/>
      <w:r w:rsidRPr="005D555B">
        <w:rPr>
          <w:sz w:val="24"/>
          <w:szCs w:val="24"/>
          <w:lang w:val="en-US"/>
        </w:rPr>
        <w:t xml:space="preserve"> for general research </w:t>
      </w:r>
      <w:proofErr w:type="spellStart"/>
      <w:r w:rsidRPr="005D555B">
        <w:rPr>
          <w:sz w:val="24"/>
          <w:szCs w:val="24"/>
          <w:lang w:val="en-US"/>
        </w:rPr>
        <w:t>biobanks</w:t>
      </w:r>
      <w:proofErr w:type="spellEnd"/>
      <w:r w:rsidRPr="005D555B">
        <w:rPr>
          <w:sz w:val="24"/>
          <w:szCs w:val="24"/>
          <w:lang w:val="en-US"/>
        </w:rPr>
        <w:t xml:space="preserve">, </w:t>
      </w:r>
      <w:proofErr w:type="spellStart"/>
      <w:r w:rsidRPr="005D555B">
        <w:rPr>
          <w:sz w:val="24"/>
          <w:szCs w:val="24"/>
          <w:lang w:val="en-US"/>
        </w:rPr>
        <w:t>eBiobank</w:t>
      </w:r>
      <w:proofErr w:type="spellEnd"/>
      <w:r w:rsidRPr="005D555B">
        <w:rPr>
          <w:sz w:val="24"/>
          <w:szCs w:val="24"/>
          <w:lang w:val="en-US"/>
        </w:rPr>
        <w:t xml:space="preserve"> courses, equipment (barcoded tubes/boxes, </w:t>
      </w:r>
      <w:r w:rsidR="00B31CA4">
        <w:rPr>
          <w:sz w:val="24"/>
          <w:szCs w:val="24"/>
          <w:lang w:val="en-US"/>
        </w:rPr>
        <w:t>1D/</w:t>
      </w:r>
      <w:r w:rsidRPr="005D555B">
        <w:rPr>
          <w:sz w:val="24"/>
          <w:szCs w:val="24"/>
          <w:lang w:val="en-US"/>
        </w:rPr>
        <w:t xml:space="preserve">2D barcoding scanners, etc.) are to be paid by the departments that request </w:t>
      </w:r>
      <w:proofErr w:type="spellStart"/>
      <w:r w:rsidRPr="005D555B">
        <w:rPr>
          <w:sz w:val="24"/>
          <w:szCs w:val="24"/>
          <w:lang w:val="en-US"/>
        </w:rPr>
        <w:t>biobanking</w:t>
      </w:r>
      <w:proofErr w:type="spellEnd"/>
      <w:r w:rsidRPr="005D555B">
        <w:rPr>
          <w:sz w:val="24"/>
          <w:szCs w:val="24"/>
          <w:lang w:val="en-US"/>
        </w:rPr>
        <w:t xml:space="preserve"> assistance from the Department of Pathology.</w:t>
      </w:r>
    </w:p>
    <w:p w:rsidR="00974C78" w:rsidRPr="005D555B" w:rsidRDefault="00974C78" w:rsidP="005D555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D555B">
        <w:rPr>
          <w:sz w:val="24"/>
          <w:szCs w:val="24"/>
          <w:lang w:val="en-US"/>
        </w:rPr>
        <w:t xml:space="preserve">It should be noted that the Pathology Department </w:t>
      </w:r>
      <w:r w:rsidR="00F96292" w:rsidRPr="005D555B">
        <w:rPr>
          <w:sz w:val="24"/>
          <w:szCs w:val="24"/>
          <w:lang w:val="en-US"/>
        </w:rPr>
        <w:t xml:space="preserve">now bills for </w:t>
      </w:r>
      <w:r w:rsidR="00F96292" w:rsidRPr="005D555B">
        <w:rPr>
          <w:b/>
          <w:sz w:val="24"/>
          <w:szCs w:val="24"/>
          <w:lang w:val="en-US"/>
        </w:rPr>
        <w:t>ultra</w:t>
      </w:r>
      <w:r w:rsidR="001A63DE" w:rsidRPr="005D555B">
        <w:rPr>
          <w:b/>
          <w:sz w:val="24"/>
          <w:szCs w:val="24"/>
          <w:lang w:val="en-US"/>
        </w:rPr>
        <w:t>-</w:t>
      </w:r>
      <w:r w:rsidRPr="005D555B">
        <w:rPr>
          <w:b/>
          <w:sz w:val="24"/>
          <w:szCs w:val="24"/>
          <w:lang w:val="en-US"/>
        </w:rPr>
        <w:t>freeze</w:t>
      </w:r>
      <w:r w:rsidR="00F96292" w:rsidRPr="005D555B">
        <w:rPr>
          <w:b/>
          <w:sz w:val="24"/>
          <w:szCs w:val="24"/>
          <w:lang w:val="en-US"/>
        </w:rPr>
        <w:t>r rental</w:t>
      </w:r>
      <w:r w:rsidR="00F96292" w:rsidRPr="005D555B">
        <w:rPr>
          <w:sz w:val="24"/>
          <w:szCs w:val="24"/>
          <w:lang w:val="en-US"/>
        </w:rPr>
        <w:t>: NOK 1000/</w:t>
      </w:r>
      <w:r w:rsidRPr="005D555B">
        <w:rPr>
          <w:sz w:val="24"/>
          <w:szCs w:val="24"/>
          <w:lang w:val="en-US"/>
        </w:rPr>
        <w:t>month for large-scale storage, and</w:t>
      </w:r>
      <w:r w:rsidR="00F96292" w:rsidRPr="005D555B">
        <w:rPr>
          <w:sz w:val="24"/>
          <w:szCs w:val="24"/>
          <w:lang w:val="en-US"/>
        </w:rPr>
        <w:t xml:space="preserve"> NOK 500/</w:t>
      </w:r>
      <w:r w:rsidRPr="005D555B">
        <w:rPr>
          <w:sz w:val="24"/>
          <w:szCs w:val="24"/>
          <w:lang w:val="en-US"/>
        </w:rPr>
        <w:t xml:space="preserve">month </w:t>
      </w:r>
      <w:r w:rsidR="00F96292" w:rsidRPr="005D555B">
        <w:rPr>
          <w:sz w:val="24"/>
          <w:szCs w:val="24"/>
          <w:lang w:val="en-US"/>
        </w:rPr>
        <w:t>for small-scale storage</w:t>
      </w:r>
      <w:r w:rsidRPr="005D555B">
        <w:rPr>
          <w:sz w:val="24"/>
          <w:szCs w:val="24"/>
          <w:lang w:val="en-US"/>
        </w:rPr>
        <w:t xml:space="preserve">. This should also be </w:t>
      </w:r>
      <w:r w:rsidR="00F96292" w:rsidRPr="005D555B">
        <w:rPr>
          <w:sz w:val="24"/>
          <w:szCs w:val="24"/>
          <w:lang w:val="en-US"/>
        </w:rPr>
        <w:t>stated</w:t>
      </w:r>
      <w:r w:rsidRPr="005D555B">
        <w:rPr>
          <w:sz w:val="24"/>
          <w:szCs w:val="24"/>
          <w:lang w:val="en-US"/>
        </w:rPr>
        <w:t xml:space="preserve"> in the co</w:t>
      </w:r>
      <w:r w:rsidR="0025568D" w:rsidRPr="005D555B">
        <w:rPr>
          <w:sz w:val="24"/>
          <w:szCs w:val="24"/>
          <w:lang w:val="en-US"/>
        </w:rPr>
        <w:t>llabora</w:t>
      </w:r>
      <w:r w:rsidRPr="005D555B">
        <w:rPr>
          <w:sz w:val="24"/>
          <w:szCs w:val="24"/>
          <w:lang w:val="en-US"/>
        </w:rPr>
        <w:t>tion agreement.</w:t>
      </w:r>
    </w:p>
    <w:p w:rsidR="00974C78" w:rsidRPr="005D555B" w:rsidRDefault="00F96292" w:rsidP="005D555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D555B">
        <w:rPr>
          <w:sz w:val="24"/>
          <w:szCs w:val="24"/>
          <w:lang w:val="en-US"/>
        </w:rPr>
        <w:t>Local</w:t>
      </w:r>
      <w:r w:rsidR="00974C78" w:rsidRPr="005D555B">
        <w:rPr>
          <w:sz w:val="24"/>
          <w:szCs w:val="24"/>
          <w:lang w:val="en-US"/>
        </w:rPr>
        <w:t xml:space="preserve"> section </w:t>
      </w:r>
      <w:r w:rsidRPr="005D555B">
        <w:rPr>
          <w:sz w:val="24"/>
          <w:szCs w:val="24"/>
          <w:lang w:val="en-US"/>
        </w:rPr>
        <w:t>leader</w:t>
      </w:r>
      <w:r w:rsidR="00974C78" w:rsidRPr="005D555B">
        <w:rPr>
          <w:sz w:val="24"/>
          <w:szCs w:val="24"/>
          <w:lang w:val="en-US"/>
        </w:rPr>
        <w:t xml:space="preserve">s or the department </w:t>
      </w:r>
      <w:r w:rsidRPr="005D555B">
        <w:rPr>
          <w:sz w:val="24"/>
          <w:szCs w:val="24"/>
          <w:lang w:val="en-US"/>
        </w:rPr>
        <w:t>leader</w:t>
      </w:r>
      <w:r w:rsidR="00974C78" w:rsidRPr="005D555B">
        <w:rPr>
          <w:sz w:val="24"/>
          <w:szCs w:val="24"/>
          <w:lang w:val="en-US"/>
        </w:rPr>
        <w:t xml:space="preserve"> must approve the co</w:t>
      </w:r>
      <w:r w:rsidRPr="005D555B">
        <w:rPr>
          <w:sz w:val="24"/>
          <w:szCs w:val="24"/>
          <w:lang w:val="en-US"/>
        </w:rPr>
        <w:t>llaboratio</w:t>
      </w:r>
      <w:r w:rsidR="00974C78" w:rsidRPr="005D555B">
        <w:rPr>
          <w:sz w:val="24"/>
          <w:szCs w:val="24"/>
          <w:lang w:val="en-US"/>
        </w:rPr>
        <w:t>n agreement.</w:t>
      </w:r>
    </w:p>
    <w:p w:rsidR="00974C78" w:rsidRPr="005D555B" w:rsidRDefault="00CC246A" w:rsidP="005D555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D555B">
        <w:rPr>
          <w:sz w:val="24"/>
          <w:szCs w:val="24"/>
          <w:lang w:val="en-US"/>
        </w:rPr>
        <w:t>External departments</w:t>
      </w:r>
      <w:r w:rsidR="00974C78" w:rsidRPr="005D555B">
        <w:rPr>
          <w:sz w:val="24"/>
          <w:szCs w:val="24"/>
          <w:lang w:val="en-US"/>
        </w:rPr>
        <w:t xml:space="preserve"> </w:t>
      </w:r>
      <w:r w:rsidR="00F96292" w:rsidRPr="005D555B">
        <w:rPr>
          <w:sz w:val="24"/>
          <w:szCs w:val="24"/>
          <w:lang w:val="en-US"/>
        </w:rPr>
        <w:t>will</w:t>
      </w:r>
      <w:r w:rsidR="00974C78" w:rsidRPr="005D555B">
        <w:rPr>
          <w:sz w:val="24"/>
          <w:szCs w:val="24"/>
          <w:lang w:val="en-US"/>
        </w:rPr>
        <w:t xml:space="preserve"> be invoiced once a month for ultra-free</w:t>
      </w:r>
      <w:r w:rsidR="00F96292" w:rsidRPr="005D555B">
        <w:rPr>
          <w:sz w:val="24"/>
          <w:szCs w:val="24"/>
          <w:lang w:val="en-US"/>
        </w:rPr>
        <w:t>zer</w:t>
      </w:r>
      <w:r w:rsidR="00974C78" w:rsidRPr="005D555B">
        <w:rPr>
          <w:sz w:val="24"/>
          <w:szCs w:val="24"/>
          <w:lang w:val="en-US"/>
        </w:rPr>
        <w:t xml:space="preserve"> rental and </w:t>
      </w:r>
      <w:r w:rsidR="00F96292" w:rsidRPr="005D555B">
        <w:rPr>
          <w:sz w:val="24"/>
          <w:szCs w:val="24"/>
          <w:lang w:val="en-US"/>
        </w:rPr>
        <w:t xml:space="preserve">for </w:t>
      </w:r>
      <w:r w:rsidR="00F96292" w:rsidRPr="005D555B">
        <w:rPr>
          <w:b/>
          <w:sz w:val="24"/>
          <w:szCs w:val="24"/>
          <w:lang w:val="en-US"/>
        </w:rPr>
        <w:t>pathologist time</w:t>
      </w:r>
      <w:r w:rsidR="00F96292" w:rsidRPr="005D555B">
        <w:rPr>
          <w:sz w:val="24"/>
          <w:szCs w:val="24"/>
          <w:lang w:val="en-US"/>
        </w:rPr>
        <w:t xml:space="preserve"> (NOK 1000/</w:t>
      </w:r>
      <w:r w:rsidR="00974C78" w:rsidRPr="005D555B">
        <w:rPr>
          <w:sz w:val="24"/>
          <w:szCs w:val="24"/>
          <w:lang w:val="en-US"/>
        </w:rPr>
        <w:t xml:space="preserve">hour) for ongoing </w:t>
      </w:r>
      <w:proofErr w:type="spellStart"/>
      <w:r w:rsidR="00974C78" w:rsidRPr="005D555B">
        <w:rPr>
          <w:sz w:val="24"/>
          <w:szCs w:val="24"/>
          <w:lang w:val="en-US"/>
        </w:rPr>
        <w:t>biobanking</w:t>
      </w:r>
      <w:proofErr w:type="spellEnd"/>
      <w:r w:rsidR="00974C78" w:rsidRPr="005D555B">
        <w:rPr>
          <w:sz w:val="24"/>
          <w:szCs w:val="24"/>
          <w:lang w:val="en-US"/>
        </w:rPr>
        <w:t xml:space="preserve"> work if the latter is applicable.</w:t>
      </w:r>
    </w:p>
    <w:p w:rsidR="004754E3" w:rsidRPr="004754E3" w:rsidRDefault="004754E3">
      <w:pPr>
        <w:rPr>
          <w:sz w:val="24"/>
          <w:szCs w:val="24"/>
          <w:lang w:val="en-US"/>
        </w:rPr>
      </w:pPr>
      <w:bookmarkStart w:id="0" w:name="_GoBack"/>
      <w:bookmarkEnd w:id="0"/>
    </w:p>
    <w:sectPr w:rsidR="004754E3" w:rsidRPr="004754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26" w:rsidRDefault="00A55726" w:rsidP="00CA44C7">
      <w:pPr>
        <w:spacing w:after="0" w:line="240" w:lineRule="auto"/>
      </w:pPr>
      <w:r>
        <w:separator/>
      </w:r>
    </w:p>
  </w:endnote>
  <w:endnote w:type="continuationSeparator" w:id="0">
    <w:p w:rsidR="00A55726" w:rsidRDefault="00A55726" w:rsidP="00CA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44" w:rsidRPr="007E0744" w:rsidRDefault="007E0744">
    <w:pPr>
      <w:pStyle w:val="Footer"/>
      <w:rPr>
        <w:sz w:val="18"/>
        <w:szCs w:val="18"/>
        <w:lang w:val="en-US"/>
      </w:rPr>
    </w:pPr>
    <w:r w:rsidRPr="007E0744">
      <w:rPr>
        <w:sz w:val="18"/>
        <w:szCs w:val="18"/>
        <w:lang w:val="en-US"/>
      </w:rPr>
      <w:t>Prepared by Paula De Angelis</w:t>
    </w:r>
    <w:r w:rsidR="004754E3">
      <w:rPr>
        <w:sz w:val="18"/>
        <w:szCs w:val="18"/>
        <w:lang w:val="en-US"/>
      </w:rPr>
      <w:t>, PhD</w:t>
    </w:r>
    <w:r w:rsidRPr="007E0744">
      <w:rPr>
        <w:sz w:val="18"/>
        <w:szCs w:val="18"/>
      </w:rPr>
      <w:ptab w:relativeTo="margin" w:alignment="center" w:leader="none"/>
    </w:r>
    <w:r w:rsidRPr="007E0744">
      <w:rPr>
        <w:sz w:val="18"/>
        <w:szCs w:val="18"/>
        <w:lang w:val="en-US"/>
      </w:rPr>
      <w:tab/>
      <w:t>Approved by Ying Chen</w:t>
    </w:r>
    <w:r w:rsidR="004754E3">
      <w:rPr>
        <w:sz w:val="18"/>
        <w:szCs w:val="18"/>
        <w:lang w:val="en-US"/>
      </w:rPr>
      <w:t>, MD</w:t>
    </w:r>
    <w:r w:rsidRPr="007E0744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26" w:rsidRDefault="00A55726" w:rsidP="00CA44C7">
      <w:pPr>
        <w:spacing w:after="0" w:line="240" w:lineRule="auto"/>
      </w:pPr>
      <w:r>
        <w:separator/>
      </w:r>
    </w:p>
  </w:footnote>
  <w:footnote w:type="continuationSeparator" w:id="0">
    <w:p w:rsidR="00A55726" w:rsidRDefault="00A55726" w:rsidP="00CA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C7" w:rsidRDefault="00CA44C7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CA44C7" w:rsidRPr="00853254" w:rsidTr="009847A3">
      <w:tc>
        <w:tcPr>
          <w:tcW w:w="4605" w:type="dxa"/>
        </w:tcPr>
        <w:p w:rsidR="00CA44C7" w:rsidRPr="00853254" w:rsidRDefault="00CA44C7" w:rsidP="009847A3">
          <w:pPr>
            <w:spacing w:after="0" w:line="240" w:lineRule="auto"/>
            <w:jc w:val="center"/>
            <w:rPr>
              <w:rFonts w:ascii="Cambria-Bold" w:eastAsia="Calibri" w:hAnsi="Cambria-Bold" w:cs="Cambria-Bold"/>
              <w:b/>
              <w:bCs/>
              <w:color w:val="003389"/>
              <w:sz w:val="26"/>
              <w:szCs w:val="26"/>
            </w:rPr>
          </w:pPr>
          <w:r>
            <w:rPr>
              <w:rFonts w:ascii="Cambria-Bold" w:eastAsia="Calibri" w:hAnsi="Cambria-Bold" w:cs="Cambria-Bold"/>
              <w:b/>
              <w:noProof/>
              <w:color w:val="003389"/>
              <w:sz w:val="26"/>
              <w:szCs w:val="26"/>
              <w:lang w:eastAsia="nb-NO"/>
            </w:rPr>
            <w:drawing>
              <wp:inline distT="0" distB="0" distL="0" distR="0" wp14:anchorId="067585E2" wp14:editId="659DF0E3">
                <wp:extent cx="2051685" cy="429260"/>
                <wp:effectExtent l="0" t="0" r="5715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CA44C7" w:rsidRPr="00853254" w:rsidRDefault="00CA44C7" w:rsidP="009847A3">
          <w:pPr>
            <w:spacing w:after="0" w:line="240" w:lineRule="auto"/>
            <w:jc w:val="center"/>
            <w:rPr>
              <w:rFonts w:ascii="Cambria-Bold" w:eastAsia="Calibri" w:hAnsi="Cambria-Bold" w:cs="Cambria-Bold"/>
              <w:b/>
              <w:bCs/>
              <w:color w:val="003389"/>
              <w:sz w:val="26"/>
              <w:szCs w:val="26"/>
            </w:rPr>
          </w:pPr>
        </w:p>
        <w:p w:rsidR="00CA44C7" w:rsidRPr="00853254" w:rsidRDefault="0069079B" w:rsidP="009847A3">
          <w:pPr>
            <w:spacing w:after="0" w:line="240" w:lineRule="auto"/>
            <w:jc w:val="center"/>
            <w:rPr>
              <w:rFonts w:ascii="Cambria-Bold" w:eastAsia="Calibri" w:hAnsi="Cambria-Bold" w:cs="Cambria-Bold"/>
              <w:b/>
              <w:bCs/>
              <w:color w:val="003389"/>
              <w:sz w:val="26"/>
              <w:szCs w:val="26"/>
            </w:rPr>
          </w:pPr>
          <w:r>
            <w:rPr>
              <w:rFonts w:ascii="Cambria-Bold" w:eastAsia="Calibri" w:hAnsi="Cambria-Bold" w:cs="Cambria-Bold"/>
              <w:b/>
              <w:bCs/>
              <w:color w:val="003389"/>
              <w:sz w:val="26"/>
              <w:szCs w:val="26"/>
            </w:rPr>
            <w:t>Department of Pathology</w:t>
          </w:r>
        </w:p>
      </w:tc>
    </w:tr>
  </w:tbl>
  <w:p w:rsidR="00CA44C7" w:rsidRDefault="00CA44C7">
    <w:pPr>
      <w:pStyle w:val="Header"/>
    </w:pPr>
  </w:p>
  <w:p w:rsidR="00CA44C7" w:rsidRDefault="00CA4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D5A3D"/>
    <w:multiLevelType w:val="hybridMultilevel"/>
    <w:tmpl w:val="3730AF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119E1"/>
    <w:multiLevelType w:val="hybridMultilevel"/>
    <w:tmpl w:val="F5ECE4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78"/>
    <w:rsid w:val="00094F51"/>
    <w:rsid w:val="001A63DE"/>
    <w:rsid w:val="0025568D"/>
    <w:rsid w:val="002E3427"/>
    <w:rsid w:val="004754E3"/>
    <w:rsid w:val="00480BB4"/>
    <w:rsid w:val="005D555B"/>
    <w:rsid w:val="0069079B"/>
    <w:rsid w:val="006B5EA8"/>
    <w:rsid w:val="007E0744"/>
    <w:rsid w:val="008B1814"/>
    <w:rsid w:val="00914CC5"/>
    <w:rsid w:val="00974C78"/>
    <w:rsid w:val="009F4A6F"/>
    <w:rsid w:val="00A55726"/>
    <w:rsid w:val="00B31CA4"/>
    <w:rsid w:val="00C04FE7"/>
    <w:rsid w:val="00C13C18"/>
    <w:rsid w:val="00CA44C7"/>
    <w:rsid w:val="00CC246A"/>
    <w:rsid w:val="00D503E7"/>
    <w:rsid w:val="00D54EBB"/>
    <w:rsid w:val="00DA5183"/>
    <w:rsid w:val="00E44998"/>
    <w:rsid w:val="00E75A8B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4C7"/>
  </w:style>
  <w:style w:type="paragraph" w:styleId="Footer">
    <w:name w:val="footer"/>
    <w:basedOn w:val="Normal"/>
    <w:link w:val="FooterChar"/>
    <w:uiPriority w:val="99"/>
    <w:unhideWhenUsed/>
    <w:rsid w:val="00CA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4C7"/>
  </w:style>
  <w:style w:type="paragraph" w:styleId="BalloonText">
    <w:name w:val="Balloon Text"/>
    <w:basedOn w:val="Normal"/>
    <w:link w:val="BalloonTextChar"/>
    <w:uiPriority w:val="99"/>
    <w:semiHidden/>
    <w:unhideWhenUsed/>
    <w:rsid w:val="00CA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94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D5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4C7"/>
  </w:style>
  <w:style w:type="paragraph" w:styleId="Footer">
    <w:name w:val="footer"/>
    <w:basedOn w:val="Normal"/>
    <w:link w:val="FooterChar"/>
    <w:uiPriority w:val="99"/>
    <w:unhideWhenUsed/>
    <w:rsid w:val="00CA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4C7"/>
  </w:style>
  <w:style w:type="paragraph" w:styleId="BalloonText">
    <w:name w:val="Balloon Text"/>
    <w:basedOn w:val="Normal"/>
    <w:link w:val="BalloonTextChar"/>
    <w:uiPriority w:val="99"/>
    <w:semiHidden/>
    <w:unhideWhenUsed/>
    <w:rsid w:val="00CA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94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D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Rikshospitalet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DeAngelis</dc:creator>
  <cp:lastModifiedBy>Paula DeAngelis</cp:lastModifiedBy>
  <cp:revision>3</cp:revision>
  <cp:lastPrinted>2019-03-21T14:47:00Z</cp:lastPrinted>
  <dcterms:created xsi:type="dcterms:W3CDTF">2019-03-25T11:15:00Z</dcterms:created>
  <dcterms:modified xsi:type="dcterms:W3CDTF">2019-04-04T08:26:00Z</dcterms:modified>
</cp:coreProperties>
</file>